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60" w:before="240"/>
        <w:jc w:val="center"/>
      </w:pPr>
      <w:r>
        <w:rPr>
          <w:b/>
          <w:bCs/>
          <w:color w:val="1D1D1F"/>
          <w:spacing w:val="80"/>
          <w:sz w:val="44"/>
          <w:szCs w:val="44"/>
        </w:rPr>
        <w:t xml:space="preserve">SITE VISIT REPORT</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c>
          <w:tcPr>
            <w:tcW w:type="pct" w:w="25%"/>
            <w:tcBorders>
              <w:top w:val="none" w:color="FFFFFF" w:sz="0"/>
              <w:left w:val="none" w:color="FFFFFF" w:sz="0"/>
              <w:bottom w:val="none" w:color="FFFFFF" w:sz="0"/>
              <w:right w:val="none" w:color="FFFFFF" w:sz="0"/>
            </w:tcBorders>
          </w:tcPr>
          <w:p>
            <w:pPr>
              <w:spacing w:after="60"/>
            </w:pPr>
            <w:r>
              <w:rPr>
                <w:color w:val="86868B"/>
                <w:sz w:val="21"/>
                <w:szCs w:val="21"/>
              </w:rPr>
              <w:t xml:space="preserve">Date</w:t>
            </w:r>
          </w:p>
        </w:tc>
        <w:tc>
          <w:tcPr>
            <w:tcW w:type="pct" w:w="75%"/>
            <w:tcBorders>
              <w:top w:val="none" w:color="FFFFFF" w:sz="0"/>
              <w:left w:val="none" w:color="FFFFFF" w:sz="0"/>
              <w:bottom w:val="none" w:color="FFFFFF" w:sz="0"/>
              <w:right w:val="none" w:color="FFFFFF" w:sz="0"/>
            </w:tcBorders>
          </w:tcPr>
          <w:p>
            <w:pPr>
              <w:spacing w:after="60"/>
            </w:pPr>
            <w:r>
              <w:rPr>
                <w:color w:val="1D1D1F"/>
                <w:sz w:val="22"/>
                <w:szCs w:val="22"/>
              </w:rPr>
              <w:t xml:space="preserve">Monday, June 8, 2026</w:t>
            </w:r>
          </w:p>
        </w:tc>
      </w:tr>
      <w:tr>
        <w:tc>
          <w:tcPr>
            <w:tcW w:type="pct" w:w="25%"/>
            <w:tcBorders>
              <w:top w:val="none" w:color="FFFFFF" w:sz="0"/>
              <w:left w:val="none" w:color="FFFFFF" w:sz="0"/>
              <w:bottom w:val="none" w:color="FFFFFF" w:sz="0"/>
              <w:right w:val="none" w:color="FFFFFF" w:sz="0"/>
            </w:tcBorders>
          </w:tcPr>
          <w:p>
            <w:pPr>
              <w:spacing w:after="60"/>
            </w:pPr>
            <w:r>
              <w:rPr>
                <w:color w:val="86868B"/>
                <w:sz w:val="21"/>
                <w:szCs w:val="21"/>
              </w:rPr>
              <w:t xml:space="preserve">Project</w:t>
            </w:r>
          </w:p>
        </w:tc>
        <w:tc>
          <w:tcPr>
            <w:tcW w:type="pct" w:w="75%"/>
            <w:tcBorders>
              <w:top w:val="none" w:color="FFFFFF" w:sz="0"/>
              <w:left w:val="none" w:color="FFFFFF" w:sz="0"/>
              <w:bottom w:val="none" w:color="FFFFFF" w:sz="0"/>
              <w:right w:val="none" w:color="FFFFFF" w:sz="0"/>
            </w:tcBorders>
          </w:tcPr>
          <w:p>
            <w:pPr>
              <w:spacing w:after="60"/>
            </w:pPr>
            <w:r>
              <w:rPr>
                <w:color w:val="1D1D1F"/>
                <w:sz w:val="22"/>
                <w:szCs w:val="22"/>
              </w:rPr>
              <w:t xml:space="preserve">Maple Grove Office Park, Bldg A</w:t>
            </w:r>
          </w:p>
        </w:tc>
      </w:tr>
      <w:tr>
        <w:tc>
          <w:tcPr>
            <w:tcW w:type="pct" w:w="25%"/>
            <w:tcBorders>
              <w:top w:val="none" w:color="FFFFFF" w:sz="0"/>
              <w:left w:val="none" w:color="FFFFFF" w:sz="0"/>
              <w:bottom w:val="none" w:color="FFFFFF" w:sz="0"/>
              <w:right w:val="none" w:color="FFFFFF" w:sz="0"/>
            </w:tcBorders>
          </w:tcPr>
          <w:p>
            <w:pPr>
              <w:spacing w:after="60"/>
            </w:pPr>
            <w:r>
              <w:rPr>
                <w:color w:val="86868B"/>
                <w:sz w:val="21"/>
                <w:szCs w:val="21"/>
              </w:rPr>
              <w:t xml:space="preserve">Project address</w:t>
            </w:r>
          </w:p>
        </w:tc>
        <w:tc>
          <w:tcPr>
            <w:tcW w:type="pct" w:w="75%"/>
            <w:tcBorders>
              <w:top w:val="none" w:color="FFFFFF" w:sz="0"/>
              <w:left w:val="none" w:color="FFFFFF" w:sz="0"/>
              <w:bottom w:val="none" w:color="FFFFFF" w:sz="0"/>
              <w:right w:val="none" w:color="FFFFFF" w:sz="0"/>
            </w:tcBorders>
          </w:tcPr>
          <w:p>
            <w:pPr>
              <w:spacing w:after="60"/>
            </w:pPr>
            <w:r>
              <w:rPr>
                <w:color w:val="1D1D1F"/>
                <w:sz w:val="22"/>
                <w:szCs w:val="22"/>
              </w:rPr>
              <w:t xml:space="preserve">2418 Maple Grove Way, Highland Park, CA 90035</w:t>
            </w:r>
          </w:p>
        </w:tc>
      </w:tr>
      <w:tr>
        <w:tc>
          <w:tcPr>
            <w:tcW w:type="pct" w:w="25%"/>
            <w:tcBorders>
              <w:top w:val="none" w:color="FFFFFF" w:sz="0"/>
              <w:left w:val="none" w:color="FFFFFF" w:sz="0"/>
              <w:bottom w:val="none" w:color="FFFFFF" w:sz="0"/>
              <w:right w:val="none" w:color="FFFFFF" w:sz="0"/>
            </w:tcBorders>
          </w:tcPr>
          <w:p>
            <w:pPr>
              <w:spacing w:after="60"/>
            </w:pPr>
            <w:r>
              <w:rPr>
                <w:color w:val="86868B"/>
                <w:sz w:val="21"/>
                <w:szCs w:val="21"/>
              </w:rPr>
              <w:t xml:space="preserve">Inspector</w:t>
            </w:r>
          </w:p>
        </w:tc>
        <w:tc>
          <w:tcPr>
            <w:tcW w:type="pct" w:w="75%"/>
            <w:tcBorders>
              <w:top w:val="none" w:color="FFFFFF" w:sz="0"/>
              <w:left w:val="none" w:color="FFFFFF" w:sz="0"/>
              <w:bottom w:val="none" w:color="FFFFFF" w:sz="0"/>
              <w:right w:val="none" w:color="FFFFFF" w:sz="0"/>
            </w:tcBorders>
          </w:tcPr>
          <w:p>
            <w:pPr>
              <w:spacing w:after="60"/>
            </w:pPr>
            <w:r>
              <w:rPr>
                <w:color w:val="1D1D1F"/>
                <w:sz w:val="22"/>
                <w:szCs w:val="22"/>
              </w:rPr>
              <w:t xml:space="preserve">Ryan Ghods, Bayfront Engineering</w:t>
            </w:r>
          </w:p>
        </w:tc>
      </w:tr>
    </w:tbl>
    <w:p>
      <w:r>
        <w:br w:type="page"/>
      </w:r>
    </w:p>
    <w:tbl>
      <w:tblPr>
        <w:tblW w:type="pct" w:w="100%"/>
        <w:tblBorders>
          <w:top w:val="single" w:color="AEAEB2" w:sz="4"/>
          <w:left w:val="single" w:color="AEAEB2" w:sz="4"/>
          <w:bottom w:val="single" w:color="AEAEB2" w:sz="4"/>
          <w:right w:val="single" w:color="AEAEB2" w:sz="4"/>
          <w:insideH w:val="single" w:color="AEAEB2" w:sz="4"/>
          <w:insideV w:val="single" w:color="AEAEB2" w:sz="4"/>
        </w:tblBorders>
        <w:tblLayout w:type="fixed"/>
      </w:tblPr>
      <w:tblGrid>
        <w:gridCol w:w="4536"/>
        <w:gridCol w:w="5544"/>
      </w:tblGrid>
      <w:tr>
        <w:trPr>
          <w:cantSplit/>
          <w:trHeight w:val="2660" w:hRule="atLeast"/>
        </w:trPr>
        <w:tc>
          <w:tcPr>
            <w:tcW w:type="pct" w:w="45%"/>
            <w:tcMar>
              <w:top w:type="dxa" w:w="80"/>
              <w:left w:type="dxa" w:w="120"/>
              <w:bottom w:type="dxa" w:w="80"/>
              <w:right w:type="dxa" w:w="120"/>
            </w:tcMar>
            <w:vAlign w:val="top"/>
          </w:tcPr>
          <w:p>
            <w:pPr>
              <w:spacing w:after="40" w:line="260" w:lineRule="exact"/>
            </w:pPr>
            <w:r>
              <w:rPr>
                <w:b/>
                <w:bCs/>
                <w:sz w:val="24"/>
                <w:szCs w:val="24"/>
              </w:rPr>
              <w:t xml:space="preserve">#1</w:t>
            </w:r>
          </w:p>
          <w:p>
            <w:pPr>
              <w:jc w:val="center"/>
            </w:pPr>
            <w:r>
              <w:drawing>
                <wp:inline distT="0" distB="0" distL="0" distR="0">
                  <wp:extent cx="1714500" cy="12858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714500" cy="1285875"/>
                          </a:xfrm>
                          <a:prstGeom prst="rect">
                            <a:avLst/>
                          </a:prstGeom>
                        </pic:spPr>
                      </pic:pic>
                    </a:graphicData>
                  </a:graphic>
                </wp:inline>
              </w:drawing>
            </w:r>
          </w:p>
        </w:tc>
        <w:tc>
          <w:tcPr>
            <w:tcW w:type="pct" w:w="55%"/>
            <w:tcMar>
              <w:top w:type="dxa" w:w="80"/>
              <w:left w:type="dxa" w:w="160"/>
              <w:bottom w:type="dxa" w:w="80"/>
              <w:right w:type="dxa" w:w="160"/>
            </w:tcMar>
            <w:vAlign w:val="top"/>
          </w:tcPr>
          <w:p>
            <w:pPr>
              <w:spacing w:after="0" w:before="0" w:line="297" w:lineRule="exact"/>
            </w:pPr>
            <w:r>
              <w:rPr>
                <w:color w:val="1D1D1F"/>
                <w:sz w:val="22"/>
                <w:szCs w:val="22"/>
              </w:rPr>
              <w:t xml:space="preserve">Bldg A main 480V distribution lineup, west corridor service room. Incoming feeder lands left of the main disconnect; spare 100A breaker space is reserved for the future Suite 203 tenant.</w:t>
            </w:r>
          </w:p>
          <w:p>
            <w:pPr>
              <w:spacing w:after="0" w:before="120" w:line="297" w:lineRule="exact"/>
            </w:pPr>
            <w:r>
              <w:rPr>
                <w:color w:val="1D1D1F"/>
                <w:sz w:val="22"/>
                <w:szCs w:val="22"/>
              </w:rPr>
              <w:t xml:space="preserve">Main distribution is on the west corridor wall, four eighty three-phase. Need the electrical sub to leave a hundred-amp breaker space for the future Suite two oh three tenant before we close the room.</w:t>
            </w:r>
          </w:p>
        </w:tc>
      </w:tr>
      <w:tr>
        <w:trPr>
          <w:cantSplit/>
          <w:trHeight w:val="2660" w:hRule="atLeast"/>
        </w:trPr>
        <w:tc>
          <w:tcPr>
            <w:tcW w:type="pct" w:w="45%"/>
            <w:tcMar>
              <w:top w:type="dxa" w:w="80"/>
              <w:left w:type="dxa" w:w="120"/>
              <w:bottom w:type="dxa" w:w="80"/>
              <w:right w:type="dxa" w:w="120"/>
            </w:tcMar>
            <w:vAlign w:val="top"/>
          </w:tcPr>
          <w:p>
            <w:pPr>
              <w:spacing w:after="40" w:line="260" w:lineRule="exact"/>
            </w:pPr>
            <w:r>
              <w:rPr>
                <w:b/>
                <w:bCs/>
                <w:sz w:val="24"/>
                <w:szCs w:val="24"/>
              </w:rPr>
              <w:t xml:space="preserve">#2</w:t>
            </w:r>
          </w:p>
          <w:p>
            <w:pPr>
              <w:jc w:val="center"/>
            </w:pPr>
            <w:r>
              <w:drawing>
                <wp:inline distT="0" distB="0" distL="0" distR="0">
                  <wp:extent cx="1714500" cy="12858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714500" cy="1285875"/>
                          </a:xfrm>
                          <a:prstGeom prst="rect">
                            <a:avLst/>
                          </a:prstGeom>
                        </pic:spPr>
                      </pic:pic>
                    </a:graphicData>
                  </a:graphic>
                </wp:inline>
              </w:drawing>
            </w:r>
          </w:p>
        </w:tc>
        <w:tc>
          <w:tcPr>
            <w:tcW w:type="pct" w:w="55%"/>
            <w:tcMar>
              <w:top w:type="dxa" w:w="80"/>
              <w:left w:type="dxa" w:w="160"/>
              <w:bottom w:type="dxa" w:w="80"/>
              <w:right w:type="dxa" w:w="160"/>
            </w:tcMar>
            <w:vAlign w:val="top"/>
          </w:tcPr>
          <w:p>
            <w:pPr>
              <w:spacing w:after="0" w:before="0" w:line="297" w:lineRule="exact"/>
            </w:pPr>
            <w:r>
              <w:rPr>
                <w:color w:val="1D1D1F"/>
                <w:sz w:val="22"/>
                <w:szCs w:val="22"/>
              </w:rPr>
              <w:t xml:space="preserve">Floor 2 overhead chilled-water mains above the central corridor. Confirm hangers fall on the structural beams, not the metal deck.</w:t>
            </w:r>
          </w:p>
        </w:tc>
      </w:tr>
      <w:tr>
        <w:trPr>
          <w:cantSplit/>
          <w:trHeight w:val="2660" w:hRule="atLeast"/>
        </w:trPr>
        <w:tc>
          <w:tcPr>
            <w:tcW w:type="pct" w:w="45%"/>
            <w:tcMar>
              <w:top w:type="dxa" w:w="80"/>
              <w:left w:type="dxa" w:w="120"/>
              <w:bottom w:type="dxa" w:w="80"/>
              <w:right w:type="dxa" w:w="120"/>
            </w:tcMar>
            <w:vAlign w:val="top"/>
          </w:tcPr>
          <w:p>
            <w:pPr>
              <w:spacing w:after="40" w:line="260" w:lineRule="exact"/>
            </w:pPr>
            <w:r>
              <w:rPr>
                <w:b/>
                <w:bCs/>
                <w:sz w:val="24"/>
                <w:szCs w:val="24"/>
              </w:rPr>
              <w:t xml:space="preserve">#3</w:t>
            </w:r>
          </w:p>
          <w:p>
            <w:pPr>
              <w:jc w:val="center"/>
            </w:pPr>
            <w:r>
              <w:drawing>
                <wp:inline distT="0" distB="0" distL="0" distR="0">
                  <wp:extent cx="962025" cy="12858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962025" cy="1285875"/>
                          </a:xfrm>
                          <a:prstGeom prst="rect">
                            <a:avLst/>
                          </a:prstGeom>
                        </pic:spPr>
                      </pic:pic>
                    </a:graphicData>
                  </a:graphic>
                </wp:inline>
              </w:drawing>
            </w:r>
          </w:p>
        </w:tc>
        <w:tc>
          <w:tcPr>
            <w:tcW w:type="pct" w:w="55%"/>
            <w:tcMar>
              <w:top w:type="dxa" w:w="80"/>
              <w:left w:type="dxa" w:w="160"/>
              <w:bottom w:type="dxa" w:w="80"/>
              <w:right w:type="dxa" w:w="160"/>
            </w:tcMar>
            <w:vAlign w:val="top"/>
          </w:tcPr>
          <w:p/>
        </w:tc>
      </w:tr>
      <w:tr>
        <w:trPr>
          <w:cantSplit/>
          <w:trHeight w:val="2660" w:hRule="atLeast"/>
        </w:trPr>
        <w:tc>
          <w:tcPr>
            <w:tcW w:type="pct" w:w="45%"/>
            <w:tcMar>
              <w:top w:type="dxa" w:w="80"/>
              <w:left w:type="dxa" w:w="120"/>
              <w:bottom w:type="dxa" w:w="80"/>
              <w:right w:type="dxa" w:w="120"/>
            </w:tcMar>
            <w:vAlign w:val="top"/>
          </w:tcPr>
          <w:p>
            <w:pPr>
              <w:spacing w:after="40" w:line="260" w:lineRule="exact"/>
            </w:pPr>
            <w:r>
              <w:rPr>
                <w:b/>
                <w:bCs/>
                <w:sz w:val="24"/>
                <w:szCs w:val="24"/>
              </w:rPr>
              <w:t xml:space="preserve">#4</w:t>
            </w:r>
          </w:p>
          <w:p>
            <w:pPr>
              <w:jc w:val="center"/>
            </w:pPr>
            <w:r>
              <w:drawing>
                <wp:inline distT="0" distB="0" distL="0" distR="0">
                  <wp:extent cx="1924050" cy="12858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924050" cy="1285875"/>
                          </a:xfrm>
                          <a:prstGeom prst="rect">
                            <a:avLst/>
                          </a:prstGeom>
                        </pic:spPr>
                      </pic:pic>
                    </a:graphicData>
                  </a:graphic>
                </wp:inline>
              </w:drawing>
            </w:r>
          </w:p>
        </w:tc>
        <w:tc>
          <w:tcPr>
            <w:tcW w:type="pct" w:w="55%"/>
            <w:tcMar>
              <w:top w:type="dxa" w:w="80"/>
              <w:left w:type="dxa" w:w="160"/>
              <w:bottom w:type="dxa" w:w="80"/>
              <w:right w:type="dxa" w:w="160"/>
            </w:tcMar>
            <w:vAlign w:val="top"/>
          </w:tcPr>
          <w:p>
            <w:pPr>
              <w:spacing w:after="0" w:before="0" w:line="297" w:lineRule="exact"/>
            </w:pPr>
            <w:r>
              <w:rPr>
                <w:color w:val="1D1D1F"/>
                <w:sz w:val="22"/>
                <w:szCs w:val="22"/>
              </w:rPr>
              <w:t xml:space="preserve">Floor 2 mech room, chilled-water primary mains. BMS controllers wall-mounted above the unit, but the lav vent stack from the tenant restroom comes up through this chase. Flag clash for mechanical sub before insulation wrap.</w:t>
            </w:r>
          </w:p>
          <w:p>
            <w:pPr>
              <w:spacing w:after="0" w:before="120" w:line="297" w:lineRule="exact"/>
            </w:pPr>
            <w:r>
              <w:rPr>
                <w:color w:val="1D1D1F"/>
                <w:sz w:val="22"/>
                <w:szCs w:val="22"/>
              </w:rPr>
              <w:t xml:space="preserve">Floor two mech room chase, behind the tenant restroom wet wall. The lav vent stack lands right where the BMS conduit run wants to go. Flag this for the mechanical sub before they wrap the insulation.</w:t>
            </w:r>
          </w:p>
        </w:tc>
      </w:tr>
      <w:tr>
        <w:trPr>
          <w:cantSplit/>
          <w:trHeight w:val="2660" w:hRule="atLeast"/>
        </w:trPr>
        <w:tc>
          <w:tcPr>
            <w:tcW w:type="pct" w:w="45%"/>
            <w:tcMar>
              <w:top w:type="dxa" w:w="80"/>
              <w:left w:type="dxa" w:w="120"/>
              <w:bottom w:type="dxa" w:w="80"/>
              <w:right w:type="dxa" w:w="120"/>
            </w:tcMar>
            <w:vAlign w:val="top"/>
          </w:tcPr>
          <w:p>
            <w:pPr>
              <w:spacing w:after="40" w:line="260" w:lineRule="exact"/>
            </w:pPr>
            <w:r>
              <w:rPr>
                <w:b/>
                <w:bCs/>
                <w:sz w:val="24"/>
                <w:szCs w:val="24"/>
              </w:rPr>
              <w:t xml:space="preserve">#5</w:t>
            </w:r>
          </w:p>
          <w:p>
            <w:pPr>
              <w:jc w:val="center"/>
            </w:pPr>
            <w:r>
              <w:drawing>
                <wp:inline distT="0" distB="0" distL="0" distR="0">
                  <wp:extent cx="1714500" cy="12858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714500" cy="1285875"/>
                          </a:xfrm>
                          <a:prstGeom prst="rect">
                            <a:avLst/>
                          </a:prstGeom>
                        </pic:spPr>
                      </pic:pic>
                    </a:graphicData>
                  </a:graphic>
                </wp:inline>
              </w:drawing>
            </w:r>
          </w:p>
        </w:tc>
        <w:tc>
          <w:tcPr>
            <w:tcW w:type="pct" w:w="55%"/>
            <w:tcMar>
              <w:top w:type="dxa" w:w="80"/>
              <w:left w:type="dxa" w:w="160"/>
              <w:bottom w:type="dxa" w:w="80"/>
              <w:right w:type="dxa" w:w="160"/>
            </w:tcMar>
            <w:vAlign w:val="top"/>
          </w:tcPr>
          <w:p/>
        </w:tc>
      </w:tr>
      <w:tr>
        <w:trPr>
          <w:cantSplit/>
          <w:trHeight w:val="2660" w:hRule="atLeast"/>
        </w:trPr>
        <w:tc>
          <w:tcPr>
            <w:tcW w:type="pct" w:w="45%"/>
            <w:tcMar>
              <w:top w:type="dxa" w:w="80"/>
              <w:left w:type="dxa" w:w="120"/>
              <w:bottom w:type="dxa" w:w="80"/>
              <w:right w:type="dxa" w:w="120"/>
            </w:tcMar>
            <w:vAlign w:val="top"/>
          </w:tcPr>
          <w:p>
            <w:pPr>
              <w:spacing w:after="40" w:line="260" w:lineRule="exact"/>
            </w:pPr>
            <w:r>
              <w:rPr>
                <w:b/>
                <w:bCs/>
                <w:sz w:val="24"/>
                <w:szCs w:val="24"/>
              </w:rPr>
              <w:t xml:space="preserve">#6</w:t>
            </w:r>
          </w:p>
          <w:p>
            <w:pPr>
              <w:jc w:val="center"/>
            </w:pPr>
            <w:r>
              <w:drawing>
                <wp:inline distT="0" distB="0" distL="0" distR="0">
                  <wp:extent cx="1714500" cy="12858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1714500" cy="1285875"/>
                          </a:xfrm>
                          <a:prstGeom prst="rect">
                            <a:avLst/>
                          </a:prstGeom>
                        </pic:spPr>
                      </pic:pic>
                    </a:graphicData>
                  </a:graphic>
                </wp:inline>
              </w:drawing>
            </w:r>
          </w:p>
        </w:tc>
        <w:tc>
          <w:tcPr>
            <w:tcW w:type="pct" w:w="55%"/>
            <w:tcMar>
              <w:top w:type="dxa" w:w="80"/>
              <w:left w:type="dxa" w:w="160"/>
              <w:bottom w:type="dxa" w:w="80"/>
              <w:right w:type="dxa" w:w="160"/>
            </w:tcMar>
            <w:vAlign w:val="top"/>
          </w:tcPr>
          <w:p>
            <w:pPr>
              <w:spacing w:after="0" w:before="0" w:line="297" w:lineRule="exact"/>
            </w:pPr>
            <w:r>
              <w:rPr>
                <w:color w:val="1D1D1F"/>
                <w:sz w:val="22"/>
                <w:szCs w:val="22"/>
              </w:rPr>
              <w:t xml:space="preserve">North service room switchgear lineup, low-voltage section. Incoming feeder cell lands from the Bldg A main; verify 30" working depth at the rear cell against the structural drawings.</w:t>
            </w:r>
          </w:p>
          <w:p>
            <w:pPr>
              <w:spacing w:after="0" w:before="120" w:line="297" w:lineRule="exact"/>
            </w:pPr>
            <w:r>
              <w:rPr>
                <w:b/>
                <w:bCs/>
                <w:color w:val="1D1D1F"/>
                <w:sz w:val="22"/>
                <w:szCs w:val="22"/>
              </w:rPr>
              <w:t xml:space="preserve">Floor 2 mech / switchgear coordination</w:t>
            </w:r>
          </w:p>
          <w:p>
            <w:pPr>
              <w:spacing w:after="0" w:before="0" w:line="297" w:lineRule="exact"/>
            </w:pPr>
            <w:r>
              <w:rPr>
                <w:color w:val="1D1D1F"/>
                <w:sz w:val="22"/>
                <w:szCs w:val="22"/>
              </w:rPr>
              <w:t xml:space="preserve">Three coordination items after today's walk:</w:t>
            </w:r>
          </w:p>
          <w:p>
            <w:pPr>
              <w:spacing w:after="0" w:before="120" w:line="297" w:lineRule="exact"/>
            </w:pPr>
            <w:r>
              <w:rPr>
                <w:color w:val="1D1D1F"/>
                <w:sz w:val="22"/>
                <w:szCs w:val="22"/>
              </w:rPr>
              <w:t xml:space="preserve">- Lav vent stack from the tenant restroom conflicts with the BMS conduit run above the unit controllers</w:t>
            </w:r>
            <w:r>
              <w:rPr>
                <w:color w:val="1D1D1F"/>
                <w:sz w:val="22"/>
                <w:szCs w:val="22"/>
              </w:rPr>
              <w:br/>
              <w:t xml:space="preserve">- Cold-water supply stub at the mop sink is 4" low; verify before insulation wrap</w:t>
            </w:r>
            <w:r>
              <w:rPr>
                <w:color w:val="1D1D1F"/>
                <w:sz w:val="22"/>
                <w:szCs w:val="22"/>
              </w:rPr>
              <w:br/>
              <w:t xml:space="preserve">- Rear-cell working depth at the north switchgear is 28" against the structural beam; need 30" per the spec</w:t>
            </w:r>
          </w:p>
          <w:p>
            <w:pPr>
              <w:spacing w:after="0" w:before="120" w:line="297" w:lineRule="exact"/>
            </w:pPr>
            <w:r>
              <w:rPr>
                <w:color w:val="1D1D1F"/>
                <w:sz w:val="22"/>
                <w:szCs w:val="22"/>
              </w:rPr>
              <w:t xml:space="preserve">Recommend a coordination walk with the plumbing, mechanical, and electrical subs before the ceiling grid is closed.</w:t>
            </w:r>
          </w:p>
        </w:tc>
      </w:tr>
    </w:tbl>
    <w:p>
      <w:pPr>
        <w:pStyle w:val="Heading1"/>
        <w:spacing w:after="240" w:before="240"/>
      </w:pPr>
      <w:r>
        <w:rPr>
          <w:b/>
          <w:bCs/>
          <w:sz w:val="32"/>
          <w:szCs w:val="32"/>
        </w:rPr>
        <w:t xml:space="preserve">ADDITIONAL NOTES</w:t>
      </w:r>
    </w:p>
    <w:p>
      <w:pPr>
        <w:spacing w:after="60" w:before="120"/>
      </w:pPr>
      <w:r>
        <w:rPr>
          <w:b/>
          <w:bCs/>
          <w:sz w:val="24"/>
          <w:szCs w:val="24"/>
        </w:rPr>
        <w:t xml:space="preserve">Site access</w:t>
      </w:r>
    </w:p>
    <w:p>
      <w:pPr>
        <w:spacing w:after="180"/>
      </w:pPr>
      <w:r>
        <w:rPr>
          <w:color w:val="1D1D1F"/>
          <w:sz w:val="22"/>
          <w:szCs w:val="22"/>
        </w:rPr>
        <w:t xml:space="preserve">Owner provided badge access through the loading dock. Re-up the badge before next Tuesday's follow-up walk.</w:t>
      </w:r>
    </w:p>
    <w:p>
      <w:pPr>
        <w:spacing w:after="60" w:before="120"/>
      </w:pPr>
      <w:r>
        <w:rPr>
          <w:b/>
          <w:bCs/>
          <w:sz w:val="24"/>
          <w:szCs w:val="24"/>
        </w:rPr>
        <w:t xml:space="preserve">Open punchlist</w:t>
      </w:r>
    </w:p>
    <w:p>
      <w:pPr>
        <w:spacing w:after="180"/>
      </w:pPr>
      <w:r>
        <w:rPr>
          <w:color w:val="1D1D1F"/>
          <w:sz w:val="22"/>
          <w:szCs w:val="22"/>
        </w:rPr>
        <w:t xml:space="preserve">Three coordination items flagged today. Mechanical sub to confirm reroute drawings by EOW.</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D1D1F"/>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d261d0724f0d382a9cffd37e8e3d2c28d409eccf.jpg"/><Relationship Id="rId8" Type="http://schemas.openxmlformats.org/officeDocument/2006/relationships/image" Target="media/68c4d12d13eacb9ba9908d9b7a84d2467b0b62ad.jpg"/><Relationship Id="rId9" Type="http://schemas.openxmlformats.org/officeDocument/2006/relationships/image" Target="media/9df5fcd3adc2196b7fd550426e2da63b7f60ae49.jpg"/><Relationship Id="rId10" Type="http://schemas.openxmlformats.org/officeDocument/2006/relationships/image" Target="media/c34e4d9f3180746499ad55e4848e33e72ad138cf.jpg"/><Relationship Id="rId11" Type="http://schemas.openxmlformats.org/officeDocument/2006/relationships/image" Target="media/0473bd1dc7d8bdd38af7ce3fcae500e24f491278.jpg"/><Relationship Id="rId12" Type="http://schemas.openxmlformats.org/officeDocument/2006/relationships/image" Target="media/f038b58ebcb402f5e1f2216b15aef4a6f8b26589.jp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Maple Grove Office Park, Bldg A — Site Visit Report</dc:title>
  <dc:creator>Sitewise</dc:creator>
  <dc:description>Generated by Sitewise</dc:description>
  <cp:lastModifiedBy>Un-named</cp:lastModifiedBy>
  <cp:revision>1</cp:revision>
  <dcterms:created xsi:type="dcterms:W3CDTF">2026-09-03T07:17:51.717Z</dcterms:created>
  <dcterms:modified xsi:type="dcterms:W3CDTF">2026-09-03T07:17:51.717Z</dcterms:modified>
</cp:coreProperties>
</file>

<file path=docProps/custom.xml><?xml version="1.0" encoding="utf-8"?>
<Properties xmlns="http://schemas.openxmlformats.org/officeDocument/2006/custom-properties" xmlns:vt="http://schemas.openxmlformats.org/officeDocument/2006/docPropsVTypes"/>
</file>